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D489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</w:rPr>
      </w:pPr>
    </w:p>
    <w:p w14:paraId="04E83D14" w14:textId="77777777" w:rsidR="00D67D76" w:rsidRPr="00976F8E" w:rsidRDefault="00000000">
      <w:pPr>
        <w:pStyle w:val="Standard"/>
        <w:widowControl/>
        <w:ind w:firstLine="850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№ 1</w:t>
      </w:r>
    </w:p>
    <w:p w14:paraId="5C7BC94F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13E6B983" w14:textId="77777777" w:rsidR="00D67D76" w:rsidRDefault="00000000">
      <w:pPr>
        <w:pStyle w:val="Standard"/>
        <w:widowControl/>
        <w:ind w:firstLine="709"/>
        <w:jc w:val="both"/>
      </w:pPr>
      <w:r w:rsidRPr="00976F8E">
        <w:rPr>
          <w:rFonts w:ascii="Times New Roman" w:hAnsi="Times New Roman"/>
          <w:b/>
          <w:lang w:val="ru-RU"/>
        </w:rPr>
        <w:t xml:space="preserve">Прокуратурой Костромского района утверждено обвинительное заключение по обвинению </w:t>
      </w:r>
      <w:r>
        <w:rPr>
          <w:rFonts w:ascii="Times New Roman" w:hAnsi="Times New Roman"/>
          <w:b/>
        </w:rPr>
        <w:t>21-летней жительницы Ярославской области, обвиняемой в совершении преступления, предусмотренного ст. 159 ч. 3 УК РФ.</w:t>
      </w:r>
    </w:p>
    <w:p w14:paraId="156799F4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</w:rPr>
      </w:pPr>
    </w:p>
    <w:p w14:paraId="4289E46E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Расследованием уголовного дела установлено, что жительница Ярославской области  в октябре 2025 года вступила с неустановленными лицами в преступный сговор, направленный на хищение путем обмана денежных средств у граждан Российской Федерации, в которой ей была отведена роль курьера.</w:t>
      </w:r>
    </w:p>
    <w:p w14:paraId="3F0D320B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 xml:space="preserve">Впоследствии, неустановленные лица осуществили звонки 78-летней жительнице п. Караваево Костромского района, и под предлогом того, что она подозревается в финансировании Вооруженных сил Украины, убедили последнюю </w:t>
      </w:r>
      <w:r>
        <w:rPr>
          <w:rFonts w:ascii="Times New Roman" w:hAnsi="Times New Roman"/>
        </w:rPr>
        <w:t xml:space="preserve">передать для проверки имеющиеся у нее в доме накопления в сумме 642 тысячи рублей. </w:t>
      </w:r>
      <w:r w:rsidRPr="00976F8E">
        <w:rPr>
          <w:rFonts w:ascii="Times New Roman" w:hAnsi="Times New Roman"/>
          <w:lang w:val="ru-RU"/>
        </w:rPr>
        <w:t>Указанную сумму пенсионерка передала девушке исполнявшей роль «курьера» которая, получив указанные денежные средства, передала их неустановленным лицам, оставив себе в качестве вознаграждения часть похищенных денежных средств.</w:t>
      </w:r>
    </w:p>
    <w:p w14:paraId="7845A0EA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В результате проведенных следственных действий и оперативно-розыскных мероприятий в рамках расследования уголовного дела собрано достаточно доказательств, подтверждающих причастность 21-летней жительницы Ярославской области к совершению указанного преступления, вследствие чего 31.05.2026 уголовное дело направлено в Костромской районный суд для рассмотрения по существу.</w:t>
      </w:r>
    </w:p>
    <w:p w14:paraId="223B37CE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54D8AAFB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№ 2</w:t>
      </w:r>
    </w:p>
    <w:p w14:paraId="17245486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  <w:lang w:val="ru-RU"/>
        </w:rPr>
      </w:pPr>
    </w:p>
    <w:p w14:paraId="67CB5D63" w14:textId="77777777" w:rsidR="00D67D76" w:rsidRDefault="00000000">
      <w:pPr>
        <w:pStyle w:val="Standard"/>
        <w:widowControl/>
        <w:ind w:firstLine="709"/>
        <w:jc w:val="both"/>
      </w:pPr>
      <w:r w:rsidRPr="00976F8E">
        <w:rPr>
          <w:rFonts w:ascii="Times New Roman" w:hAnsi="Times New Roman"/>
          <w:b/>
          <w:lang w:val="ru-RU"/>
        </w:rPr>
        <w:t xml:space="preserve">Прокуратурой Костромского района утвержден обвинительный акт по обвинению </w:t>
      </w:r>
      <w:r>
        <w:rPr>
          <w:rFonts w:ascii="Times New Roman" w:hAnsi="Times New Roman"/>
          <w:b/>
        </w:rPr>
        <w:t>29 летнего жителя г. Костромы, обвиняемого в небрежном хранении огнестрельного оружия, повлекшего смерть человека.</w:t>
      </w:r>
    </w:p>
    <w:p w14:paraId="7FCA8E74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  <w:shd w:val="clear" w:color="auto" w:fill="FFA69B"/>
        </w:rPr>
      </w:pPr>
    </w:p>
    <w:p w14:paraId="18C80323" w14:textId="77777777" w:rsidR="00D67D76" w:rsidRPr="00976F8E" w:rsidRDefault="00000000">
      <w:pPr>
        <w:pStyle w:val="Standard"/>
        <w:widowControl/>
        <w:ind w:firstLine="737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В ходе расследования уголовного дела установлено, что житель г.</w:t>
      </w:r>
      <w:r>
        <w:rPr>
          <w:rFonts w:ascii="Times New Roman" w:hAnsi="Times New Roman"/>
        </w:rPr>
        <w:t> </w:t>
      </w:r>
      <w:r w:rsidRPr="00976F8E">
        <w:rPr>
          <w:rFonts w:ascii="Times New Roman" w:hAnsi="Times New Roman"/>
          <w:lang w:val="ru-RU"/>
        </w:rPr>
        <w:t>Костромы в апреле 2025 года после охоты на территории Костромского района, оставил принадлежащее ему охотничье ружье в д. Тепра, в сейфе, по месту проживания своего близкого родственника.</w:t>
      </w:r>
    </w:p>
    <w:p w14:paraId="4C2D0718" w14:textId="77777777" w:rsidR="00D67D76" w:rsidRPr="00976F8E" w:rsidRDefault="00000000">
      <w:pPr>
        <w:pStyle w:val="Standard"/>
        <w:widowControl/>
        <w:ind w:firstLine="737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При этом, согласно действующего законодательства, а также Правил оборота гражданского и служебного оружия и патронов к нему на территории РФ, оружие и патроны должны храниться по месту жительства владельца оружия в условиях, обеспечивающих их сохранность и исключающих доступ к ним посторонних лиц.</w:t>
      </w:r>
    </w:p>
    <w:p w14:paraId="7675F217" w14:textId="77777777" w:rsidR="00D67D76" w:rsidRPr="00976F8E" w:rsidRDefault="00000000">
      <w:pPr>
        <w:pStyle w:val="Standard"/>
        <w:widowControl/>
        <w:ind w:firstLine="737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Таким образом, в результате допущенной гражданином преступной небрежности, выразившейся в оставлении принадлежащего ему оружия не в месте своего проживания и условиях, не исключающих доступ к нему, близкий родственник, находясь в состоянии алкогольного опьянения, извлек указанное ружье и совершил самоубийство.</w:t>
      </w:r>
    </w:p>
    <w:p w14:paraId="25D55C69" w14:textId="77777777" w:rsidR="00D67D76" w:rsidRPr="00976F8E" w:rsidRDefault="00000000">
      <w:pPr>
        <w:pStyle w:val="Standard"/>
        <w:widowControl/>
        <w:ind w:firstLine="737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По указанному факту в отношении 29 летнего жителя г.</w:t>
      </w:r>
      <w:r>
        <w:rPr>
          <w:rFonts w:ascii="Times New Roman" w:hAnsi="Times New Roman"/>
        </w:rPr>
        <w:t> </w:t>
      </w:r>
      <w:r w:rsidRPr="00976F8E">
        <w:rPr>
          <w:rFonts w:ascii="Times New Roman" w:hAnsi="Times New Roman"/>
          <w:lang w:val="ru-RU"/>
        </w:rPr>
        <w:t>Костромы по ст. 224 ч. 1 УК РФ возбуждено уголовное дело, которое направлено в суд для рассмотрения по существу.</w:t>
      </w:r>
    </w:p>
    <w:p w14:paraId="0546EBF5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0CD6D83E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№ 3.</w:t>
      </w:r>
    </w:p>
    <w:p w14:paraId="29328BE1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132D09E9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b/>
          <w:lang w:val="ru-RU"/>
        </w:rPr>
        <w:t>Прокуратурой Костромского района утверждено обвинительное заключение в отношении 65-летней жительницы Костромского района, обвиняемой в оскорблении представителя власти, а также в применении насилия в отношении представителя власти.</w:t>
      </w:r>
    </w:p>
    <w:p w14:paraId="41E1FAF3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156504D0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lastRenderedPageBreak/>
        <w:t>Расследованием уголовного дела установлено, что 65-летняя жительница Костромского района в феврале 2026 года, желая воспрепятствовать законным действиям сотрудников полиции, прибывших по месту ее проживания для задержания ее сына, находящегося в федеральном розыске за уклонение от отбывания назначенного судом наказания, публично в присутствии гражданских лиц, неоднократно высказала в адрес сотрудников полиции, находившихся в форменном обмундировании и при исполнении должностных обязанностей, грубые оскорбления, после чего нанесла одному из сотрудников полиции не менее трех ударов руками в область грудной клетки и не менее 3 ударов обеими руками в область лица, отчего последний испытал физическую боль.</w:t>
      </w:r>
    </w:p>
    <w:p w14:paraId="5F764C71" w14:textId="77777777" w:rsidR="00D67D76" w:rsidRPr="00976F8E" w:rsidRDefault="00000000">
      <w:pPr>
        <w:pStyle w:val="Standard"/>
        <w:widowControl/>
        <w:ind w:firstLine="850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В настоящее время уголовное дело в отношении 65-летней жительницы Костромского района, обвиняемой в совершении преступлений, предусмотренных ст. 319 УК РФ, ст. 318 ч.1 УК РФ, направлено в Костромской районный суд для рассмотрения по существу.</w:t>
      </w:r>
    </w:p>
    <w:p w14:paraId="585F83AF" w14:textId="77777777" w:rsidR="00D67D76" w:rsidRPr="00976F8E" w:rsidRDefault="00D67D76">
      <w:pPr>
        <w:pStyle w:val="Standard"/>
        <w:widowControl/>
        <w:ind w:firstLine="850"/>
        <w:jc w:val="both"/>
        <w:rPr>
          <w:rFonts w:ascii="Times New Roman" w:hAnsi="Times New Roman"/>
          <w:lang w:val="ru-RU"/>
        </w:rPr>
      </w:pPr>
    </w:p>
    <w:p w14:paraId="634BBB58" w14:textId="77777777" w:rsidR="00D67D76" w:rsidRPr="00976F8E" w:rsidRDefault="00000000">
      <w:pPr>
        <w:pStyle w:val="Standard"/>
        <w:widowControl/>
        <w:ind w:firstLine="850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№ 4</w:t>
      </w:r>
    </w:p>
    <w:p w14:paraId="6B5F18F3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lang w:val="ru-RU"/>
        </w:rPr>
      </w:pPr>
    </w:p>
    <w:p w14:paraId="3A4D1764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b/>
          <w:lang w:val="ru-RU"/>
        </w:rPr>
        <w:t>Прокуратурой Костромского района проведена проверка исполнения  законодательства в сфере жилищно-коммунального хозяйства.</w:t>
      </w:r>
    </w:p>
    <w:p w14:paraId="3A872D92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b/>
          <w:lang w:val="ru-RU"/>
        </w:rPr>
      </w:pPr>
    </w:p>
    <w:p w14:paraId="6EEC167F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Прокуратурой района на основании обращений жителей многоквартирного дома, расположенного в н.п. Апраксионо, проведена проверка исполнения управляющей компанией законодательства в сфере жилищно-коммунального хозяйства.</w:t>
      </w:r>
    </w:p>
    <w:p w14:paraId="72280BE2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Установлено, что между собственниками многоквартирного дома и управляющей компанией заключен договор управления многоквартирным домом.</w:t>
      </w:r>
    </w:p>
    <w:p w14:paraId="055CBFC9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Согласно п. 6.2 Договора управления многоквартирным домом, плата за содержание общего имущества многоквартирного дома начисляется не ниже установленной постановлением Администрации города Костромы от 20.12.2021  № 2262.</w:t>
      </w:r>
    </w:p>
    <w:p w14:paraId="52363E09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Одновременно с этим, п. 6.1 Договора управления установлено, что размер платы за содержание и ремонт жилого помещения в многоквартирном доме устанавливается общим собранием собственников.</w:t>
      </w:r>
    </w:p>
    <w:p w14:paraId="05F6CC12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Собственниками принималось решение об установлении размера платы за содержание и ремонт общего имущества в многоквартирном доме 21.03.2017 в размере 13 руб. за 1 кв.м.</w:t>
      </w:r>
    </w:p>
    <w:p w14:paraId="67FF781F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Таким образом, начисление платы в соответствии с постановлением Администрации города Костромы от 20.12.2021 № 2262 является незаконным.</w:t>
      </w:r>
    </w:p>
    <w:p w14:paraId="4EB03632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На основании изложенного, прокурором района в Костромской районный суд направлены исковые заявления к управляющей компании с требованием об осуществлении перерасчета, взыскании компенсации морального вреда и штрафа в пользу жителей МКД.</w:t>
      </w:r>
    </w:p>
    <w:p w14:paraId="591BFC72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Исковые требования прокурора суд удовлетворил.</w:t>
      </w:r>
    </w:p>
    <w:p w14:paraId="21B08AEA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lang w:val="ru-RU"/>
        </w:rPr>
      </w:pPr>
    </w:p>
    <w:p w14:paraId="0CCE0342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№ 5</w:t>
      </w:r>
    </w:p>
    <w:p w14:paraId="565FC30E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8D957"/>
          <w:lang w:val="ru-RU"/>
        </w:rPr>
      </w:pPr>
    </w:p>
    <w:p w14:paraId="32CAE640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b/>
          <w:lang w:val="ru-RU"/>
        </w:rPr>
        <w:t>Прокуратурой района проведена проверка исполнения ресурсоснабжающей организацией требований федерального законодательства.</w:t>
      </w:r>
    </w:p>
    <w:p w14:paraId="2CEFE9E3" w14:textId="77777777" w:rsidR="00D67D76" w:rsidRPr="00976F8E" w:rsidRDefault="00D67D76">
      <w:pPr>
        <w:pStyle w:val="Standard"/>
        <w:widowControl/>
        <w:ind w:firstLine="709"/>
        <w:jc w:val="both"/>
        <w:rPr>
          <w:rFonts w:ascii="Times New Roman" w:hAnsi="Times New Roman"/>
          <w:lang w:val="ru-RU"/>
        </w:rPr>
      </w:pPr>
    </w:p>
    <w:p w14:paraId="0AEC6BA1" w14:textId="77777777" w:rsidR="00D67D76" w:rsidRPr="00976F8E" w:rsidRDefault="00000000">
      <w:pPr>
        <w:pStyle w:val="Standard"/>
        <w:widowControl/>
        <w:ind w:firstLine="709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По результатам проверки дана оценка состоянию объектов водоотведения, выявлен ряд нарушений требований законодательства в области охраны окружающей среды.</w:t>
      </w:r>
    </w:p>
    <w:p w14:paraId="2AE9C1E0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На основании постановлений департамента природных ресурсов и охраны окружающей среды Костромской области, вынесенных по материалам прокурорской проверки, руководитель ресурсоснабжающей организации привлечен к административной ответственности в виде административного штрафа в размере 50</w:t>
      </w:r>
      <w:r>
        <w:rPr>
          <w:rFonts w:ascii="Times New Roman" w:hAnsi="Times New Roman"/>
        </w:rPr>
        <w:t> </w:t>
      </w:r>
      <w:r w:rsidRPr="00976F8E">
        <w:rPr>
          <w:rFonts w:ascii="Times New Roman" w:hAnsi="Times New Roman"/>
          <w:lang w:val="ru-RU"/>
        </w:rPr>
        <w:t>000 рублей.</w:t>
      </w:r>
    </w:p>
    <w:p w14:paraId="64BF85AA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Устранение нарушений находится на контроле прокуратуры района.</w:t>
      </w:r>
    </w:p>
    <w:p w14:paraId="2277BC0D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8D957"/>
          <w:lang w:val="ru-RU"/>
        </w:rPr>
      </w:pPr>
    </w:p>
    <w:p w14:paraId="66760AC6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lang w:val="ru-RU"/>
        </w:rPr>
      </w:pPr>
    </w:p>
    <w:p w14:paraId="598835C7" w14:textId="77777777" w:rsidR="00D67D76" w:rsidRPr="00976F8E" w:rsidRDefault="00000000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lastRenderedPageBreak/>
        <w:t>№ 6</w:t>
      </w:r>
    </w:p>
    <w:p w14:paraId="59840A0E" w14:textId="77777777" w:rsidR="00D67D76" w:rsidRPr="00976F8E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lang w:val="ru-RU"/>
        </w:rPr>
      </w:pPr>
    </w:p>
    <w:p w14:paraId="3982911B" w14:textId="77777777" w:rsidR="00D67D76" w:rsidRPr="00976F8E" w:rsidRDefault="00000000">
      <w:pPr>
        <w:pStyle w:val="Standard"/>
        <w:widowControl/>
        <w:ind w:firstLine="850"/>
        <w:jc w:val="both"/>
        <w:rPr>
          <w:lang w:val="ru-RU"/>
        </w:rPr>
      </w:pPr>
      <w:r w:rsidRPr="00976F8E">
        <w:rPr>
          <w:rFonts w:ascii="Times New Roman" w:hAnsi="Times New Roman"/>
          <w:b/>
          <w:lang w:val="ru-RU"/>
        </w:rPr>
        <w:t>Прокуратурой района проведена проверка соблюдения требований законодательства в сфере долевого участия граждан в строительстве многоквартирных домов.</w:t>
      </w:r>
    </w:p>
    <w:p w14:paraId="6105805D" w14:textId="77777777" w:rsidR="00D67D76" w:rsidRPr="00976F8E" w:rsidRDefault="00D67D76">
      <w:pPr>
        <w:pStyle w:val="Standard"/>
        <w:widowControl/>
        <w:ind w:firstLine="850"/>
        <w:jc w:val="both"/>
        <w:rPr>
          <w:rFonts w:ascii="Times New Roman" w:hAnsi="Times New Roman"/>
          <w:b/>
          <w:lang w:val="ru-RU"/>
        </w:rPr>
      </w:pPr>
    </w:p>
    <w:p w14:paraId="2B1A5B89" w14:textId="77777777" w:rsidR="00D67D76" w:rsidRDefault="00000000">
      <w:pPr>
        <w:pStyle w:val="Standard"/>
        <w:widowControl/>
        <w:ind w:firstLine="850"/>
        <w:jc w:val="both"/>
      </w:pPr>
      <w:r w:rsidRPr="00976F8E">
        <w:rPr>
          <w:rFonts w:ascii="Times New Roman" w:hAnsi="Times New Roman"/>
          <w:lang w:val="ru-RU"/>
        </w:rPr>
        <w:t xml:space="preserve">По результатам выездной проверки установлено, что строительные площадки возводимых многоквартирных жилых домов дер. </w:t>
      </w:r>
      <w:r>
        <w:rPr>
          <w:rFonts w:ascii="Times New Roman" w:hAnsi="Times New Roman"/>
        </w:rPr>
        <w:t>Каримово не соответствуют требованиям федерального законодательства, что выразилось в ненадлежащем состоянии ограждений, а также отсутствии моек для колес автотранспорта.</w:t>
      </w:r>
    </w:p>
    <w:p w14:paraId="2D3651E4" w14:textId="77777777" w:rsidR="00D67D76" w:rsidRPr="00976F8E" w:rsidRDefault="00000000">
      <w:pPr>
        <w:pStyle w:val="Standard"/>
        <w:widowControl/>
        <w:ind w:firstLine="850"/>
        <w:jc w:val="both"/>
        <w:rPr>
          <w:lang w:val="ru-RU"/>
        </w:rPr>
      </w:pPr>
      <w:r w:rsidRPr="00976F8E">
        <w:rPr>
          <w:rFonts w:ascii="Times New Roman" w:hAnsi="Times New Roman"/>
          <w:lang w:val="ru-RU"/>
        </w:rPr>
        <w:t>С целью соблюдения прав неопределенного круга лиц, в том числе уже проживающего в ранее сданных многоквартиных домах, расположенных в непосредственной близости от строительной площадки, в адрес руководителя строительной компании внесено представление.</w:t>
      </w:r>
    </w:p>
    <w:p w14:paraId="17F0575F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Устранение нарушений находится на контроле прокурора района.</w:t>
      </w:r>
    </w:p>
    <w:p w14:paraId="7A548C2F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1892DB84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7</w:t>
      </w:r>
    </w:p>
    <w:p w14:paraId="54FC14EB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A69B"/>
        </w:rPr>
      </w:pPr>
    </w:p>
    <w:p w14:paraId="65BB5D86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  <w:b/>
        </w:rPr>
        <w:t>Прокуратурой района на основании обращения пенсионера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14:paraId="5FFFDBEF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  <w:b/>
        </w:rPr>
      </w:pPr>
    </w:p>
    <w:p w14:paraId="75A53C22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По результатам выездной проверки установлено, что проезд к домовладению  предусмотрен, однако на момент проверки фактически проехать не представилось возможным ввиду его зарастания естественной растительностью высотой свыше 50 см., что исключает возможность его использования. Иным способом доступ к домовледнию невозможен.</w:t>
      </w:r>
    </w:p>
    <w:p w14:paraId="5F00DC29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Кроме того, земли общего пользования, расположенные вблизи домовладения аналогично заросли растительностью, высота которой свыше 1 метра, с таким образом со стороны должностных лиц администрации сельского поселения помимо прав лица, проживающего в вышеуказанном домовладении на проход, нарушены права третьих лиц.</w:t>
      </w:r>
    </w:p>
    <w:p w14:paraId="3F0AFBD1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14:paraId="236B627C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Устранение нарушений находится на контроле прокурора района.</w:t>
      </w:r>
    </w:p>
    <w:p w14:paraId="69ADF58D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51B21F81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8</w:t>
      </w:r>
    </w:p>
    <w:p w14:paraId="396F6650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A69B"/>
        </w:rPr>
      </w:pPr>
    </w:p>
    <w:p w14:paraId="01B4EBB9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  <w:b/>
        </w:rPr>
        <w:t>Прокуратурой района на основания обращения жителей проведена выездная комплексная проверка соблюдения требований земельного законодательства с привлечением представителей органов местного самоуправления.</w:t>
      </w:r>
    </w:p>
    <w:p w14:paraId="14C3D7D3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A69B"/>
        </w:rPr>
      </w:pPr>
    </w:p>
    <w:p w14:paraId="383B754C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 xml:space="preserve">По результатам выездной проверки установлено, что </w:t>
      </w:r>
      <w:r>
        <w:rPr>
          <w:rFonts w:ascii="Times New Roman" w:hAnsi="Times New Roman"/>
          <w:color w:val="00000A"/>
        </w:rPr>
        <w:t>придомовые территории жилых домов, расположенных в границах населенного пункта преимущественно не окошены, при этом со стороны администрации сельского поселения соответствующие меры не принимались, предписания не выносились.</w:t>
      </w:r>
    </w:p>
    <w:p w14:paraId="5C0FC591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С целью соблюдения прав неопределенного круга лиц в адрес главы администрации сельского поселения внесено представление.</w:t>
      </w:r>
    </w:p>
    <w:p w14:paraId="641B2729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Устранение нарушений находится на контроле прокурора район</w:t>
      </w:r>
      <w:r>
        <w:rPr>
          <w:rFonts w:ascii="Times New Roman" w:hAnsi="Times New Roman"/>
          <w:lang w:val="ru-RU"/>
        </w:rPr>
        <w:t>а.</w:t>
      </w:r>
    </w:p>
    <w:p w14:paraId="00BA47C9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</w:rPr>
      </w:pPr>
    </w:p>
    <w:p w14:paraId="05608F1D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</w:rPr>
      </w:pPr>
    </w:p>
    <w:p w14:paraId="645EFBA3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2AE89914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9</w:t>
      </w:r>
    </w:p>
    <w:p w14:paraId="38456E55" w14:textId="77777777" w:rsidR="00D67D76" w:rsidRDefault="00D67D76">
      <w:pPr>
        <w:pStyle w:val="Standard"/>
        <w:widowControl/>
        <w:ind w:firstLine="709"/>
        <w:contextualSpacing/>
        <w:jc w:val="both"/>
      </w:pPr>
    </w:p>
    <w:p w14:paraId="5AA67317" w14:textId="77777777" w:rsidR="00D67D76" w:rsidRDefault="00000000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shd w:val="clear" w:color="auto" w:fill="FFFFFF"/>
          <w:lang w:val="ru-RU"/>
        </w:rPr>
        <w:lastRenderedPageBreak/>
        <w:t>Прокуратурой района на основании обращения инвалида проведена проверка соблюдения требований земельного законодательства.</w:t>
      </w:r>
    </w:p>
    <w:p w14:paraId="3E9A2CBF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  <w:b/>
          <w:shd w:val="clear" w:color="auto" w:fill="FFA69B"/>
          <w:lang w:val="ru-RU"/>
        </w:rPr>
      </w:pPr>
    </w:p>
    <w:p w14:paraId="3BB36ABD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По результатам проверки установлено, что администрацией сельского поселения при рассмотрении поступившего заявления гражданина о предоставлении выписки из похозяйственной книги, ответ дан с нарушением сроков, предусмотренных приказом Минсельхоза России от 27.09.2022 № 629 «Об утверждении формы и порядка ведения похозяйственных книг», а кроме того, у заявителя не запрошены сведения, подтверждающие его родство (наличие наследственных правоотношений) с предыдущим владельцем земельного участка, при этом принято решение о невозможности предоставления сведений со ссылкой на федеральный закон № 152 «О персональных данных».</w:t>
      </w:r>
    </w:p>
    <w:p w14:paraId="6D1295D8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С целью восстановления нарушенный прав гражданина в адрес главы администрации сельского поселения внесено представление.</w:t>
      </w:r>
    </w:p>
    <w:p w14:paraId="7D0B80B7" w14:textId="77777777" w:rsidR="00D67D76" w:rsidRDefault="00000000">
      <w:pPr>
        <w:pStyle w:val="Standard"/>
        <w:widowControl/>
        <w:ind w:firstLine="850"/>
        <w:jc w:val="both"/>
      </w:pPr>
      <w:r>
        <w:rPr>
          <w:rFonts w:ascii="Times New Roman" w:hAnsi="Times New Roman"/>
        </w:rPr>
        <w:t>Устранение нарушений находится на контроле прокурора района.</w:t>
      </w:r>
    </w:p>
    <w:p w14:paraId="3D55F96C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264E7156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10</w:t>
      </w:r>
    </w:p>
    <w:p w14:paraId="2A5EC690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10F43F62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</w:t>
      </w:r>
      <w:r>
        <w:rPr>
          <w:rFonts w:ascii="Times New Roman" w:hAnsi="Times New Roman"/>
        </w:rPr>
        <w:t>.</w:t>
      </w:r>
    </w:p>
    <w:p w14:paraId="05304781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</w:rPr>
      </w:pPr>
    </w:p>
    <w:p w14:paraId="2833DC7B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Установлено, что в общество с ограниченной ответственностью на должность уборщика производственных помещений трудоустроен бывший государственный гражданский служащий, являющийся супругом руководителя организации.</w:t>
      </w:r>
    </w:p>
    <w:p w14:paraId="689E327F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нарушение требований Федерального закона «О противодействии коррупции» обязанность по направлению уведомления в адрес бывшего представителя нанимателя работодателем не исполнена.</w:t>
      </w:r>
    </w:p>
    <w:p w14:paraId="18042DD9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На основании постановлений мирового судьи, вынесенных по материалам прокурорской проверки, юридическое лицо и его руководитель привлечены к административной ответственности по ст. 19.29 КоАП РФ (незаконное привлечение к трудовой деятельности бывшего государственного и муниципального служащего) в виде административного штрафа в размере 50 000 рублей и 20 000 рублей соответственно. Постановления суда вступили в законную силу.</w:t>
      </w:r>
    </w:p>
    <w:p w14:paraId="735F8D09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33B27CBE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№ 11</w:t>
      </w:r>
    </w:p>
    <w:p w14:paraId="6168633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7CB2CE74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Приоритетным направлением деятельности органов прокуратуры является надзор за исполнение законодательства в сфере противодействия коррупции. Особое внимание обращается на несоответствие расходов муниципальных служащих и лиц, замещающих муниципальные должности, их доходам, законность получения ими денежных средств.</w:t>
      </w:r>
    </w:p>
    <w:p w14:paraId="72A72F0D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</w:rPr>
      </w:pPr>
    </w:p>
    <w:p w14:paraId="12C4E9C1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По результатам проверки, проведенной прокуратурой Костромского района в 2025 году, в суд направлено исковое заявление к лицу, ранее замещавшему муниципальную должность, и его близкому родственнику об обращении в доход Российской Федерации транспортного средства, стоимость которого превысила совокупный семейный доход за три предшествующих года более чем на 1 млн рублей, и взыскании в доход государства денежных средств, законность получения которых не подтверждена, в общей сумме более 8 млн рублей.</w:t>
      </w:r>
    </w:p>
    <w:p w14:paraId="27485779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По ходатайству прокурора приняты меры по обеспечению иска.</w:t>
      </w:r>
    </w:p>
    <w:p w14:paraId="1D5085F1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Требования надзорного ведомства удовлетворены в полном объеме.</w:t>
      </w:r>
    </w:p>
    <w:p w14:paraId="352F1EE1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Судебное решение не вступило в законную силу.</w:t>
      </w:r>
    </w:p>
    <w:p w14:paraId="6BC07DA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52A10FF6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lastRenderedPageBreak/>
        <w:t>№ 12</w:t>
      </w:r>
    </w:p>
    <w:p w14:paraId="07EE354D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587F71C9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Неотвратимость ответственности за совершение коррупционных правонарушений является одним из ключевых принципов, закрепленных Федеральным законом от 25.12.2008 № 273-ФЗ «О противодействии коррупции».</w:t>
      </w:r>
    </w:p>
    <w:p w14:paraId="2C3D094F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</w:rPr>
      </w:pPr>
    </w:p>
    <w:p w14:paraId="3C9AD4A5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По результатам рассмотрения актов прокурорского реагирования, внесенных прокуратурой Костромского района в текущем году, за неисполнение обязанностей, несоблюдение запретов и ограничений, установленных в целях противодействия коррупции, 39 должностных лиц привлечены к дисциплинарной ответственности.</w:t>
      </w:r>
    </w:p>
    <w:p w14:paraId="1ADC9995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частности, выявлены факты представления государственными и  муниципальными служащими, руководителями муниципальных учреждений неполных (недостоверных) сведений о доходах, ввиду занижения ответственными должностными лицами полученного дохода, не отражения в соответствующих справках объектов недвижимости, транспортных средств, банковских счетов, по которым в отчетный период осуществлялось движение денежных средств.</w:t>
      </w:r>
    </w:p>
    <w:p w14:paraId="1BFCA23A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Также имеют место факты неурегулирования конфликта интересов, осуществления представительства интересов третьих лиц.</w:t>
      </w:r>
    </w:p>
    <w:p w14:paraId="45E84E48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7C0FF75F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№ 13</w:t>
      </w:r>
    </w:p>
    <w:p w14:paraId="0B91E1D7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76919EFD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Решением Свердловского районного суда города Костромы частично удовлетворены исковые требования прокурора Костромского района о взыскании компенсации морального вреда, причиненного несовершеннолетнему в связи с несвоевременным обеспечением его медицинскими изделиями, предназначенными для лиц, имеющих паллиативный статус.</w:t>
      </w:r>
    </w:p>
    <w:p w14:paraId="4B8D3E5B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</w:rPr>
      </w:pPr>
    </w:p>
    <w:p w14:paraId="049DF903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числе прочего свыше года Департаментом здравоохранения Костромской области несовершеннолетний не обеспечен гастростомическими трубками, шприцами для энтерального питания.</w:t>
      </w:r>
    </w:p>
    <w:p w14:paraId="3B66944C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Прокурором заявлены требования о выплате несовершеннолетнему компенсации морального вреда в размере 100000 рублей.</w:t>
      </w:r>
    </w:p>
    <w:p w14:paraId="695407E4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С учетом установленных в ходе судебного заседания обстоятельств, судом постановлено решение о взыскании с Департамента здравоохранения Костромской области в пользу несовершеннолетнего компенсации морального вреда в размере 80000 рублей.</w:t>
      </w:r>
    </w:p>
    <w:p w14:paraId="57BF9F53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6D5029C3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14</w:t>
      </w:r>
    </w:p>
    <w:p w14:paraId="375F0C49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54671C78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Прокуратурой Костромского района на регулярной основе проводятся проверочные мероприятия на основании обращений граждан по фактам оскорблений.</w:t>
      </w:r>
    </w:p>
    <w:p w14:paraId="12BBFA2B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b/>
        </w:rPr>
      </w:pPr>
    </w:p>
    <w:p w14:paraId="5078FD8A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Так, на основании заявления работника образовательной организации проведена проверка по факту высказывания в его адрес оскорблений одним из учащихся.</w:t>
      </w:r>
    </w:p>
    <w:p w14:paraId="4CA380A2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Учитывая то, что на момент высказывания оскорбительных фраз обучающийся достиг 16 лет, прокуратурой района в отношении несовершеннолетнего возбуждено дело об административном правонарушении, ответственность за которое установлена ч. 1 ст. 5.61 КоАП РФ (оскорбление).</w:t>
      </w:r>
    </w:p>
    <w:p w14:paraId="378A971A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Постановлением суда, вступившим в законную силу, учащийся признан виновным в совершении правонарушения, ему назначено наказание в виде штрафа.</w:t>
      </w:r>
    </w:p>
    <w:p w14:paraId="5AD38886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002972D9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51278D1A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15</w:t>
      </w:r>
    </w:p>
    <w:p w14:paraId="755D06F8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0CE14F3C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  <w:b/>
        </w:rPr>
        <w:t>Прокуратурой Костромского района по результатам реализованных проверочных мероприятий, выявлены нарушения в деятельности одного из предпринимателей Костромского района, оказывающего услуги по предоставлению в наем (аренду) помещений для проживания иностранных граждан.</w:t>
      </w:r>
    </w:p>
    <w:p w14:paraId="3AA95D15" w14:textId="77777777" w:rsidR="00D67D76" w:rsidRDefault="00D67D76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</w:rPr>
      </w:pPr>
    </w:p>
    <w:p w14:paraId="0E64AF85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результате проверки установлено, что хозяйствующим субъектом в нарушение требований федерального законодательства в нежилых, принадлежащих ему помещениях, осуществляется регистрация иностранных граждан в целях их постановки на миграционный учет, при этом, здание. в котором располагаются указанные помещения, эксплуатируется с грубыми нарушениями требований пожарной безопасности.</w:t>
      </w:r>
    </w:p>
    <w:p w14:paraId="47AE4055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целях устранения нарушений, обеспечения безопасности жизни и здоровья граждан, прокуратурой района в Костромской районный суд Костромской области предъявлено исковое заявление с требованием о запрете деятельности индивидуального предпринимателя по сдаче в наем (аренду) помещений в принадлежащем ему нежилом здании.</w:t>
      </w:r>
    </w:p>
    <w:p w14:paraId="02E6CD81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В рамках искового заявления прокурором района заявлено ходатайство о принятии обеспечительных мер в виде запрета на регистрацию граждан, в том числе иностранных и лиц без гражданства, в указанных помещениях.</w:t>
      </w:r>
    </w:p>
    <w:p w14:paraId="6B66926C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Определением Костромского районного суда от 05.06.2026 ходатайство прокурора удовлетворено.</w:t>
      </w:r>
    </w:p>
    <w:p w14:paraId="590C1ACB" w14:textId="77777777" w:rsidR="00D67D76" w:rsidRDefault="00000000">
      <w:pPr>
        <w:pStyle w:val="Standard"/>
        <w:widowControl/>
        <w:ind w:firstLine="709"/>
        <w:jc w:val="both"/>
      </w:pPr>
      <w:r>
        <w:rPr>
          <w:rFonts w:ascii="Times New Roman" w:hAnsi="Times New Roman"/>
        </w:rPr>
        <w:t>Исковое заявление находится на рассмотрении.</w:t>
      </w:r>
    </w:p>
    <w:p w14:paraId="406CBB5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265B80B3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16</w:t>
      </w:r>
    </w:p>
    <w:p w14:paraId="1F651E2F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A69B"/>
        </w:rPr>
      </w:pPr>
    </w:p>
    <w:p w14:paraId="0543ABAC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b/>
        </w:rPr>
        <w:t>По требованию прокурора района суд обязал орган местного самоуправления привести автомобильную дорогу в нормативное состояние.</w:t>
      </w:r>
    </w:p>
    <w:p w14:paraId="101D9A9D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5AC12431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14:paraId="3E965D9E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Проверкой установлены нарушения требований ГОСТ</w:t>
      </w:r>
      <w:r>
        <w:rPr>
          <w:rFonts w:ascii="Times New Roman" w:hAnsi="Times New Roman"/>
        </w:rPr>
        <w:t>Р 50597-2017</w:t>
      </w:r>
      <w:r>
        <w:rPr>
          <w:rFonts w:ascii="Times New Roman" w:hAnsi="Times New Roman"/>
          <w:color w:val="00000A"/>
        </w:rPr>
        <w:t xml:space="preserve"> на автомобильной дороге общего пользования «Сандогора – Орлово» общей протяженностью 8, 4 км. Так покрытие проезжей части имеет просадки, ямы, колейности, что затрудняет движение транспортных средств.</w:t>
      </w:r>
    </w:p>
    <w:p w14:paraId="29924CDE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14:paraId="6C9BABA6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Суд исковые требования прокурора удовлетворил.</w:t>
      </w:r>
    </w:p>
    <w:p w14:paraId="2B14F8B1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Реально исполнения решения суда находится на контроле прокуратуры района.</w:t>
      </w:r>
    </w:p>
    <w:p w14:paraId="5E955BAA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22EA7FE5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№ 17</w:t>
      </w:r>
    </w:p>
    <w:p w14:paraId="193946B1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color w:val="00000A"/>
        </w:rPr>
      </w:pPr>
    </w:p>
    <w:p w14:paraId="4559A741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b/>
        </w:rPr>
        <w:t>По требованию прокурора Костромского района местной жительнице назначена досрочная страховая пенсия по старости.</w:t>
      </w:r>
    </w:p>
    <w:p w14:paraId="1B722FDF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FFFF"/>
        </w:rPr>
      </w:pPr>
    </w:p>
    <w:p w14:paraId="06A34DE4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Прокуратурой Костромского района проведена проверка по обращению 57-летней местной жительницы о нарушении ее социальных прав.</w:t>
      </w:r>
    </w:p>
    <w:p w14:paraId="41EFC911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Установлено, что женщина является матерью троих детей, в связи с чем обратилась в отделение фонда пенсионного и социального страхования Российской Федерации по Костромской области за досрочным назначением страховой пенсии по старости. Однако заявительница получила отказ, мотивированный тем, что двое из детей рождены на территории Республики Украина (Крым).</w:t>
      </w:r>
    </w:p>
    <w:p w14:paraId="27017595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lastRenderedPageBreak/>
        <w:t>Учитывая, что ограничение в части места рождения детей гражданкой Российской Федерации в качестве основания для отказа в назначении страховой пенсии досрочно законом не предусмотрено, прокуратурой района в адрес управляющего отделением фонда пенсионного и социального страхования Российской Федерации по Костромской области внесено представление с требованием назначить заявительнице страховую пенсию по старости.</w:t>
      </w:r>
    </w:p>
    <w:p w14:paraId="7E0897E3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color w:val="00000A"/>
        </w:rPr>
        <w:t>По результатам рассмотрения акта прокурорского реагирования требования прокурора удовлетворены в полном объеме.</w:t>
      </w:r>
    </w:p>
    <w:p w14:paraId="2AB7D999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shd w:val="clear" w:color="auto" w:fill="FFFFFF"/>
        </w:rPr>
      </w:pPr>
    </w:p>
    <w:p w14:paraId="6A239F6A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№ 18.</w:t>
      </w:r>
    </w:p>
    <w:p w14:paraId="73A7A7BB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01DAA54D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  <w:b/>
        </w:rPr>
        <w:t>Прокуратурой Костромского района по обращениям жителей с. Минское и д.Кузьмищи Костромского района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14:paraId="3C0431E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  <w:b/>
        </w:rPr>
      </w:pPr>
    </w:p>
    <w:p w14:paraId="07FAFD82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Установлено, что в период времени с 30.01.2026 по 02.02.2026, а также со 02.02.2026 по 03.02.2026 заявители, являющиеся пенсионерами по старости, подверглись мошенничеству в крупном размере.</w:t>
      </w:r>
    </w:p>
    <w:p w14:paraId="42DC0A24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По факту мошенничества следователем СО ОМВД России по Костромскому району возбуждены уголовные дела по признакам преступлений, предусмотренных ч. 3 ст. 159 УК РФ, по которым заявители признаны потерпевшими.</w:t>
      </w:r>
    </w:p>
    <w:p w14:paraId="0E7DDD79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Так, неустановленное лицо, в ходе телефонного разговора с пенсионерами, введя в заблуждение последних, под предлогом проверки и декларирования денежных средств, убедило передать «курьеру», который подъехал к домам потерпевших, денежные средства в размере 737 тыс. руб. и 800 тыс. руб. соответственно.</w:t>
      </w:r>
    </w:p>
    <w:p w14:paraId="0DA62EFF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В ходе следствия установлено, что в качестве «курьера» выступил несовершеннолетний житель г. Вологды, который действуя умышленно в группе лиц по предварительному сговору совершил хищение чужого имущества путем обмана, в связи с чем, уголовные дела, соединенные в одно производство, переданы для расследования в отдел по особо важным делам Костромского межрайонного следственного отдела.</w:t>
      </w:r>
    </w:p>
    <w:p w14:paraId="3B659D6A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 xml:space="preserve">Для осуществления своих преступных намерений, направленных на хищение денежных средств путем обмана, неустановленные лица распределили роли, согласно которых неустановленные лица, находясь в неустановленных местах, посредством телефонной связи, исключающей личный контакт с потерпевшими, должны были осуществлять звонки пожилым людям, в том числе из числа жителей Костромской области, представляться сотрудниками социальных служб, а также правоохранительных органов, по телефону сообщать заведомо ложную информацию о содействии террористическим организациям путем перечисления денежных средств на спонсирование вооруженных сил Украины и привлечении их к уголовной ответственности за это, в связи с чем потерпевшим необходимо доказать легальность имеющихся у них денежных средств. После чего, убедившись, что потерпевшие находятся под воздействием обмана, пользуясь их эмоциональным состоянием, неустановленные лица, посредством телефонной связи должны инструктировать потерпевших о способе передачи похищаемых денежных средств. Несовершеннолетний, в свою очередь, исполнял роль «курьера», посредством переписки в мессенджере «Телеграм» должен был получать от неустановленных лиц информацию о месте проживания пожилого лица, о сумме передаваемых денежных средств, а также свой псевдоним и кодовое слово, после чего должен был следовать по указанному ему неустановленными лицами адресу, встречаться с потерпевшими по месту их проживания, где получать от последних похищаемые денежные средства и скрываться с места совершения преступления. Часть похищенных денежных средств, количество которых согласовывалось с неустановленными лицами, он должен оставлять себе в качестве </w:t>
      </w:r>
      <w:r>
        <w:rPr>
          <w:rFonts w:ascii="Times New Roman" w:hAnsi="Times New Roman"/>
        </w:rPr>
        <w:lastRenderedPageBreak/>
        <w:t>вознаграждения за участие в преступлении, а оставшуюся часть денежных средств передавать неустановленным лицам – курьерам.</w:t>
      </w:r>
    </w:p>
    <w:p w14:paraId="4454CEDD" w14:textId="77777777" w:rsidR="00D67D76" w:rsidRDefault="00000000">
      <w:pPr>
        <w:pStyle w:val="Standard"/>
        <w:widowControl/>
        <w:ind w:firstLine="709"/>
        <w:contextualSpacing/>
        <w:jc w:val="both"/>
      </w:pPr>
      <w:r>
        <w:rPr>
          <w:rFonts w:ascii="Times New Roman" w:hAnsi="Times New Roman"/>
        </w:rPr>
        <w:t>С целью защиты прав потерпевших прокурор Костромского района в Костромской районный суд направил исковое заявление о взыскании с «курьера» сумм неосновательного обогащения в размере 737 тыс. руб. и 800 тыс. руб., которое находится на рассмотрении.</w:t>
      </w:r>
    </w:p>
    <w:p w14:paraId="0490C89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416BBCDE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5D396817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7E5B1338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06FD3585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3AFAF1A1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48147DD0" w14:textId="77777777" w:rsidR="00D67D76" w:rsidRDefault="00D67D76">
      <w:pPr>
        <w:pStyle w:val="Standard"/>
        <w:widowControl/>
        <w:ind w:firstLine="709"/>
        <w:contextualSpacing/>
        <w:jc w:val="both"/>
        <w:rPr>
          <w:rFonts w:ascii="Times New Roman" w:hAnsi="Times New Roman"/>
        </w:rPr>
      </w:pPr>
    </w:p>
    <w:p w14:paraId="552B639C" w14:textId="77777777" w:rsidR="00D67D76" w:rsidRDefault="00D67D76">
      <w:pPr>
        <w:pStyle w:val="Standard"/>
        <w:widowControl/>
        <w:ind w:firstLine="850"/>
        <w:jc w:val="both"/>
        <w:rPr>
          <w:rFonts w:ascii="Times New Roman" w:hAnsi="Times New Roman"/>
        </w:rPr>
      </w:pPr>
    </w:p>
    <w:sectPr w:rsidR="00D67D7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3D15" w14:textId="77777777" w:rsidR="003D3F1F" w:rsidRDefault="003D3F1F">
      <w:r>
        <w:separator/>
      </w:r>
    </w:p>
  </w:endnote>
  <w:endnote w:type="continuationSeparator" w:id="0">
    <w:p w14:paraId="39024F0F" w14:textId="77777777" w:rsidR="003D3F1F" w:rsidRDefault="003D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A535" w14:textId="77777777" w:rsidR="003D3F1F" w:rsidRDefault="003D3F1F">
      <w:r>
        <w:rPr>
          <w:color w:val="000000"/>
        </w:rPr>
        <w:separator/>
      </w:r>
    </w:p>
  </w:footnote>
  <w:footnote w:type="continuationSeparator" w:id="0">
    <w:p w14:paraId="1A3151CF" w14:textId="77777777" w:rsidR="003D3F1F" w:rsidRDefault="003D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7D76"/>
    <w:rsid w:val="00060695"/>
    <w:rsid w:val="003D3F1F"/>
    <w:rsid w:val="00976F8E"/>
    <w:rsid w:val="00D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106F"/>
  <w15:docId w15:val="{117032C1-42D5-4D6C-838C-153DD422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Standard"/>
    <w:uiPriority w:val="9"/>
    <w:qFormat/>
    <w:pPr>
      <w:spacing w:before="120"/>
      <w:jc w:val="both"/>
      <w:outlineLvl w:val="0"/>
    </w:pPr>
    <w:rPr>
      <w:rFonts w:ascii="XO Thames" w:eastAsia="Times New Roman" w:hAnsi="XO Thames" w:cs="Calibri"/>
      <w:b/>
      <w:sz w:val="32"/>
    </w:rPr>
  </w:style>
  <w:style w:type="paragraph" w:styleId="2">
    <w:name w:val="heading 2"/>
    <w:basedOn w:val="Heading"/>
    <w:next w:val="Standard"/>
    <w:uiPriority w:val="9"/>
    <w:semiHidden/>
    <w:unhideWhenUsed/>
    <w:qFormat/>
    <w:pPr>
      <w:spacing w:before="120"/>
      <w:jc w:val="both"/>
      <w:outlineLvl w:val="1"/>
    </w:pPr>
    <w:rPr>
      <w:rFonts w:ascii="XO Thames" w:eastAsia="Times New Roman" w:hAnsi="XO Thames" w:cs="Calibri"/>
      <w:b/>
    </w:rPr>
  </w:style>
  <w:style w:type="paragraph" w:styleId="3">
    <w:name w:val="heading 3"/>
    <w:basedOn w:val="Heading"/>
    <w:next w:val="Standard"/>
    <w:uiPriority w:val="9"/>
    <w:semiHidden/>
    <w:unhideWhenUsed/>
    <w:qFormat/>
    <w:pPr>
      <w:spacing w:before="120"/>
      <w:jc w:val="both"/>
      <w:outlineLvl w:val="2"/>
    </w:pPr>
    <w:rPr>
      <w:rFonts w:ascii="XO Thames" w:eastAsia="Times New Roman" w:hAnsi="XO Thames" w:cs="Calibri"/>
      <w:b/>
      <w:sz w:val="26"/>
    </w:rPr>
  </w:style>
  <w:style w:type="paragraph" w:styleId="4">
    <w:name w:val="heading 4"/>
    <w:basedOn w:val="Heading"/>
    <w:next w:val="Standard"/>
    <w:uiPriority w:val="9"/>
    <w:semiHidden/>
    <w:unhideWhenUsed/>
    <w:qFormat/>
    <w:pPr>
      <w:spacing w:before="120"/>
      <w:jc w:val="both"/>
      <w:outlineLvl w:val="3"/>
    </w:pPr>
    <w:rPr>
      <w:rFonts w:ascii="XO Thames" w:eastAsia="Times New Roman" w:hAnsi="XO Thames" w:cs="Calibri"/>
      <w:b/>
      <w:sz w:val="24"/>
    </w:rPr>
  </w:style>
  <w:style w:type="paragraph" w:styleId="5">
    <w:name w:val="heading 5"/>
    <w:basedOn w:val="Heading"/>
    <w:next w:val="Standard"/>
    <w:uiPriority w:val="9"/>
    <w:semiHidden/>
    <w:unhideWhenUsed/>
    <w:qFormat/>
    <w:pPr>
      <w:spacing w:before="120"/>
      <w:jc w:val="both"/>
      <w:outlineLvl w:val="4"/>
    </w:pPr>
    <w:rPr>
      <w:rFonts w:ascii="XO Thames" w:eastAsia="Times New Roman" w:hAnsi="XO Thames" w:cs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eastAsia="Times New Roman" w:cs="Calibri"/>
      <w:color w:val="000000"/>
      <w:szCs w:val="20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widowControl/>
      <w:spacing w:before="240" w:after="120"/>
    </w:pPr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widowControl/>
      <w:spacing w:after="140" w:line="276" w:lineRule="exact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widowControl/>
      <w:spacing w:before="120" w:after="120"/>
    </w:pPr>
    <w:rPr>
      <w:i/>
    </w:rPr>
  </w:style>
  <w:style w:type="paragraph" w:customStyle="1" w:styleId="Index">
    <w:name w:val="Index"/>
    <w:basedOn w:val="Standard"/>
    <w:pPr>
      <w:widowControl/>
    </w:pPr>
  </w:style>
  <w:style w:type="paragraph" w:customStyle="1" w:styleId="Contents2">
    <w:name w:val="Contents 2"/>
    <w:basedOn w:val="Index"/>
    <w:next w:val="Standard"/>
    <w:pPr>
      <w:ind w:left="200"/>
    </w:pPr>
    <w:rPr>
      <w:rFonts w:ascii="XO Thames" w:hAnsi="XO Thames"/>
      <w:sz w:val="28"/>
    </w:rPr>
  </w:style>
  <w:style w:type="paragraph" w:customStyle="1" w:styleId="Contents4">
    <w:name w:val="Contents 4"/>
    <w:basedOn w:val="Index"/>
    <w:next w:val="Standard"/>
    <w:pPr>
      <w:ind w:left="600"/>
    </w:pPr>
    <w:rPr>
      <w:rFonts w:ascii="XO Thames" w:hAnsi="XO Thames"/>
      <w:sz w:val="28"/>
    </w:rPr>
  </w:style>
  <w:style w:type="paragraph" w:customStyle="1" w:styleId="Contents6">
    <w:name w:val="Contents 6"/>
    <w:basedOn w:val="Index"/>
    <w:next w:val="Standard"/>
    <w:pPr>
      <w:ind w:left="1000"/>
    </w:pPr>
    <w:rPr>
      <w:rFonts w:ascii="XO Thames" w:hAnsi="XO Thames"/>
      <w:sz w:val="28"/>
    </w:rPr>
  </w:style>
  <w:style w:type="paragraph" w:customStyle="1" w:styleId="Contents7">
    <w:name w:val="Contents 7"/>
    <w:basedOn w:val="Index"/>
    <w:next w:val="Standard"/>
    <w:pPr>
      <w:ind w:left="1200"/>
    </w:pPr>
    <w:rPr>
      <w:rFonts w:ascii="XO Thames" w:hAnsi="XO Thames"/>
      <w:sz w:val="28"/>
    </w:rPr>
  </w:style>
  <w:style w:type="paragraph" w:customStyle="1" w:styleId="EndnoteWW">
    <w:name w:val="Endnote (WW)"/>
    <w:pPr>
      <w:widowControl/>
      <w:ind w:firstLine="851"/>
      <w:jc w:val="both"/>
      <w:textAlignment w:val="auto"/>
    </w:pPr>
    <w:rPr>
      <w:rFonts w:ascii="XO Thames" w:eastAsia="Times New Roman" w:hAnsi="XO Thames" w:cs="Calibri"/>
      <w:color w:val="000000"/>
      <w:sz w:val="22"/>
      <w:szCs w:val="20"/>
      <w:lang w:val="en-US" w:eastAsia="en-US" w:bidi="ar-SA"/>
    </w:rPr>
  </w:style>
  <w:style w:type="paragraph" w:customStyle="1" w:styleId="Contents3">
    <w:name w:val="Contents 3"/>
    <w:basedOn w:val="Index"/>
    <w:next w:val="Standard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pPr>
      <w:widowControl/>
      <w:textAlignment w:val="auto"/>
    </w:pPr>
    <w:rPr>
      <w:rFonts w:ascii="Calibri" w:eastAsia="Times New Roman" w:hAnsi="Calibri" w:cs="Calibri"/>
      <w:color w:val="0000FF"/>
      <w:sz w:val="20"/>
      <w:szCs w:val="20"/>
      <w:u w:val="single"/>
      <w:lang w:val="en-US" w:eastAsia="en-US" w:bidi="ar-SA"/>
    </w:rPr>
  </w:style>
  <w:style w:type="paragraph" w:customStyle="1" w:styleId="FootnoteWW">
    <w:name w:val="Footnote (WW)"/>
    <w:pPr>
      <w:widowControl/>
      <w:ind w:firstLine="851"/>
      <w:jc w:val="both"/>
      <w:textAlignment w:val="auto"/>
    </w:pPr>
    <w:rPr>
      <w:rFonts w:ascii="XO Thames" w:eastAsia="Times New Roman" w:hAnsi="XO Thames" w:cs="Calibri"/>
      <w:color w:val="000000"/>
      <w:sz w:val="22"/>
      <w:szCs w:val="20"/>
      <w:lang w:val="en-US" w:eastAsia="en-US" w:bidi="ar-SA"/>
    </w:rPr>
  </w:style>
  <w:style w:type="paragraph" w:customStyle="1" w:styleId="Contents1">
    <w:name w:val="Contents 1"/>
    <w:basedOn w:val="Index"/>
    <w:next w:val="Standard"/>
    <w:rPr>
      <w:rFonts w:ascii="XO Thames" w:hAnsi="XO Thames"/>
      <w:b/>
      <w:sz w:val="28"/>
    </w:rPr>
  </w:style>
  <w:style w:type="paragraph" w:customStyle="1" w:styleId="HeaderandFooter">
    <w:name w:val="Header and Footer"/>
    <w:basedOn w:val="Standard"/>
    <w:pPr>
      <w:widowControl/>
      <w:jc w:val="both"/>
    </w:pPr>
    <w:rPr>
      <w:rFonts w:ascii="XO Thames" w:hAnsi="XO Thames"/>
      <w:sz w:val="28"/>
    </w:rPr>
  </w:style>
  <w:style w:type="paragraph" w:customStyle="1" w:styleId="Contents9">
    <w:name w:val="Contents 9"/>
    <w:basedOn w:val="Index"/>
    <w:next w:val="Standard"/>
    <w:pPr>
      <w:ind w:left="1600"/>
    </w:pPr>
    <w:rPr>
      <w:rFonts w:ascii="XO Thames" w:hAnsi="XO Thames"/>
      <w:sz w:val="28"/>
    </w:rPr>
  </w:style>
  <w:style w:type="paragraph" w:customStyle="1" w:styleId="Contents8">
    <w:name w:val="Contents 8"/>
    <w:basedOn w:val="Index"/>
    <w:next w:val="Standard"/>
    <w:pPr>
      <w:ind w:left="1400"/>
    </w:pPr>
    <w:rPr>
      <w:rFonts w:ascii="XO Thames" w:hAnsi="XO Thames"/>
      <w:sz w:val="28"/>
    </w:rPr>
  </w:style>
  <w:style w:type="paragraph" w:customStyle="1" w:styleId="Contents5">
    <w:name w:val="Contents 5"/>
    <w:basedOn w:val="Index"/>
    <w:next w:val="Standard"/>
    <w:pPr>
      <w:ind w:left="800"/>
    </w:pPr>
    <w:rPr>
      <w:rFonts w:ascii="XO Thames" w:hAnsi="XO Thames"/>
      <w:sz w:val="28"/>
    </w:rPr>
  </w:style>
  <w:style w:type="paragraph" w:styleId="a5">
    <w:name w:val="Subtitle"/>
    <w:basedOn w:val="Heading"/>
    <w:next w:val="Standard"/>
    <w:uiPriority w:val="11"/>
    <w:qFormat/>
    <w:pPr>
      <w:spacing w:before="0" w:after="0"/>
      <w:jc w:val="both"/>
    </w:pPr>
    <w:rPr>
      <w:rFonts w:ascii="XO Thames" w:eastAsia="Times New Roman" w:hAnsi="XO Thames" w:cs="Calibri"/>
      <w:i/>
      <w:sz w:val="24"/>
    </w:rPr>
  </w:style>
  <w:style w:type="paragraph" w:styleId="a6">
    <w:name w:val="Title"/>
    <w:basedOn w:val="Heading"/>
    <w:next w:val="Standard"/>
    <w:uiPriority w:val="10"/>
    <w:qFormat/>
    <w:pPr>
      <w:spacing w:before="567" w:after="567"/>
      <w:jc w:val="center"/>
    </w:pPr>
    <w:rPr>
      <w:rFonts w:ascii="XO Thames" w:eastAsia="Times New Roman" w:hAnsi="XO Thames" w:cs="Calibri"/>
      <w:b/>
      <w:caps/>
      <w:sz w:val="40"/>
    </w:rPr>
  </w:style>
  <w:style w:type="character" w:customStyle="1" w:styleId="DefaultParagraphFontWW">
    <w:name w:val="Default Paragraph Font (WW)"/>
  </w:style>
  <w:style w:type="character" w:customStyle="1" w:styleId="NormalChar">
    <w:name w:val="Normal Char"/>
    <w:rPr>
      <w:rFonts w:ascii="Liberation Serif" w:eastAsia="Liberation Serif" w:hAnsi="Liberation Serif" w:cs="Liberation Serif"/>
      <w:color w:val="000000"/>
      <w:spacing w:val="0"/>
      <w:sz w:val="24"/>
    </w:rPr>
  </w:style>
  <w:style w:type="character" w:customStyle="1" w:styleId="TOC2Char">
    <w:name w:val="TOC 2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4Char">
    <w:name w:val="TOC 4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6Char">
    <w:name w:val="TOC 6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7Char">
    <w:name w:val="TOC 7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Endnote0">
    <w:name w:val="Endnote_0"/>
    <w:rPr>
      <w:rFonts w:ascii="XO Thames" w:eastAsia="XO Thames" w:hAnsi="XO Thames" w:cs="XO Thames"/>
      <w:color w:val="000000"/>
      <w:spacing w:val="0"/>
      <w:sz w:val="22"/>
    </w:rPr>
  </w:style>
  <w:style w:type="character" w:customStyle="1" w:styleId="Heading3Char">
    <w:name w:val="Heading 3 Char"/>
    <w:rPr>
      <w:rFonts w:ascii="XO Thames" w:eastAsia="XO Thames" w:hAnsi="XO Thames" w:cs="XO Thames"/>
      <w:b/>
      <w:color w:val="000000"/>
      <w:spacing w:val="0"/>
      <w:sz w:val="26"/>
    </w:rPr>
  </w:style>
  <w:style w:type="character" w:customStyle="1" w:styleId="BodyTextChar">
    <w:name w:val="Body Text Char"/>
    <w:basedOn w:val="NormalChar"/>
    <w:rPr>
      <w:rFonts w:ascii="Liberation Serif" w:eastAsia="Liberation Serif" w:hAnsi="Liberation Serif" w:cs="Liberation Serif"/>
      <w:color w:val="000000"/>
      <w:spacing w:val="0"/>
      <w:sz w:val="24"/>
      <w:szCs w:val="24"/>
    </w:rPr>
  </w:style>
  <w:style w:type="character" w:customStyle="1" w:styleId="0">
    <w:name w:val="Указатель_0"/>
    <w:basedOn w:val="NormalChar"/>
    <w:rPr>
      <w:rFonts w:ascii="Liberation Serif" w:eastAsia="Liberation Serif" w:hAnsi="Liberation Serif" w:cs="Liberation Serif"/>
      <w:color w:val="000000"/>
      <w:spacing w:val="0"/>
      <w:sz w:val="24"/>
      <w:szCs w:val="24"/>
    </w:rPr>
  </w:style>
  <w:style w:type="character" w:customStyle="1" w:styleId="TOC3Char">
    <w:name w:val="TOC 3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ListChar">
    <w:name w:val="List Char"/>
    <w:basedOn w:val="BodyTextChar"/>
    <w:rPr>
      <w:rFonts w:ascii="Liberation Serif" w:eastAsia="Liberation Serif" w:hAnsi="Liberation Serif" w:cs="Liberation Serif"/>
      <w:color w:val="000000"/>
      <w:spacing w:val="0"/>
      <w:sz w:val="24"/>
      <w:szCs w:val="24"/>
    </w:rPr>
  </w:style>
  <w:style w:type="character" w:customStyle="1" w:styleId="00">
    <w:name w:val="Заголовок_0"/>
    <w:basedOn w:val="NormalChar"/>
    <w:rPr>
      <w:rFonts w:ascii="Liberation Sans" w:eastAsia="Liberation Sans" w:hAnsi="Liberation Sans" w:cs="Liberation Sans"/>
      <w:color w:val="000000"/>
      <w:spacing w:val="0"/>
      <w:sz w:val="28"/>
      <w:szCs w:val="24"/>
    </w:rPr>
  </w:style>
  <w:style w:type="character" w:customStyle="1" w:styleId="Heading5Char">
    <w:name w:val="Heading 5 Char"/>
    <w:rPr>
      <w:rFonts w:ascii="XO Thames" w:eastAsia="XO Thames" w:hAnsi="XO Thames" w:cs="XO Thames"/>
      <w:b/>
      <w:color w:val="000000"/>
      <w:spacing w:val="0"/>
      <w:sz w:val="22"/>
    </w:rPr>
  </w:style>
  <w:style w:type="character" w:customStyle="1" w:styleId="Heading1Char">
    <w:name w:val="Heading 1 Char"/>
    <w:rPr>
      <w:rFonts w:ascii="XO Thames" w:eastAsia="XO Thames" w:hAnsi="XO Thames" w:cs="XO Thames"/>
      <w:b/>
      <w:color w:val="000000"/>
      <w:spacing w:val="0"/>
      <w:sz w:val="32"/>
    </w:rPr>
  </w:style>
  <w:style w:type="character" w:customStyle="1" w:styleId="HyperlinkChar">
    <w:name w:val="Hyperlink Char"/>
    <w:rPr>
      <w:rFonts w:ascii="Calibri" w:eastAsia="Calibri" w:hAnsi="Calibri" w:cs="Calibri"/>
      <w:color w:val="0000FF"/>
      <w:spacing w:val="0"/>
      <w:sz w:val="20"/>
      <w:u w:val="single"/>
    </w:rPr>
  </w:style>
  <w:style w:type="character" w:customStyle="1" w:styleId="Footnote0">
    <w:name w:val="Footnote_0"/>
    <w:rPr>
      <w:rFonts w:ascii="XO Thames" w:eastAsia="XO Thames" w:hAnsi="XO Thames" w:cs="XO Thames"/>
      <w:color w:val="000000"/>
      <w:spacing w:val="0"/>
      <w:sz w:val="22"/>
    </w:rPr>
  </w:style>
  <w:style w:type="character" w:customStyle="1" w:styleId="TOC1Char">
    <w:name w:val="TOC 1 Char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HeaderandFooter0">
    <w:name w:val="Header and Footer_0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9Char">
    <w:name w:val="TOC 9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8Char">
    <w:name w:val="TOC 8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TOC5Char">
    <w:name w:val="TOC 5 Char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aptionChar">
    <w:name w:val="Caption Char"/>
    <w:basedOn w:val="NormalChar"/>
    <w:rPr>
      <w:rFonts w:ascii="Liberation Serif" w:eastAsia="Liberation Serif" w:hAnsi="Liberation Serif" w:cs="Liberation Serif"/>
      <w:i/>
      <w:color w:val="000000"/>
      <w:spacing w:val="0"/>
      <w:sz w:val="24"/>
      <w:szCs w:val="24"/>
    </w:rPr>
  </w:style>
  <w:style w:type="character" w:customStyle="1" w:styleId="SubtitleChar">
    <w:name w:val="Subtitle Char"/>
    <w:rPr>
      <w:rFonts w:ascii="XO Thames" w:eastAsia="XO Thames" w:hAnsi="XO Thames" w:cs="XO Thames"/>
      <w:i/>
      <w:color w:val="000000"/>
      <w:spacing w:val="0"/>
      <w:sz w:val="24"/>
    </w:rPr>
  </w:style>
  <w:style w:type="character" w:customStyle="1" w:styleId="TitleChar">
    <w:name w:val="Title Char"/>
    <w:rPr>
      <w:rFonts w:ascii="XO Thames" w:eastAsia="XO Thames" w:hAnsi="XO Thames" w:cs="XO Thames"/>
      <w:b/>
      <w:caps/>
      <w:color w:val="000000"/>
      <w:spacing w:val="0"/>
      <w:sz w:val="40"/>
    </w:rPr>
  </w:style>
  <w:style w:type="character" w:customStyle="1" w:styleId="Heading4Char">
    <w:name w:val="Heading 4 Char"/>
    <w:rPr>
      <w:rFonts w:ascii="XO Thames" w:eastAsia="XO Thames" w:hAnsi="XO Thames" w:cs="XO Thames"/>
      <w:b/>
      <w:color w:val="000000"/>
      <w:spacing w:val="0"/>
      <w:sz w:val="24"/>
    </w:rPr>
  </w:style>
  <w:style w:type="character" w:customStyle="1" w:styleId="Heading2Char">
    <w:name w:val="Heading 2 Char"/>
    <w:rPr>
      <w:rFonts w:ascii="XO Thames" w:eastAsia="XO Thames" w:hAnsi="XO Thames" w:cs="XO Thames"/>
      <w:b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3078</Words>
  <Characters>17551</Characters>
  <Application>Microsoft Office Word</Application>
  <DocSecurity>0</DocSecurity>
  <Lines>146</Lines>
  <Paragraphs>41</Paragraphs>
  <ScaleCrop>false</ScaleCrop>
  <Company/>
  <LinksUpToDate>false</LinksUpToDate>
  <CharactersWithSpaces>20588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Смирнов</dc:creator>
  <cp:lastModifiedBy>Александр Владимирович Смирнов</cp:lastModifiedBy>
  <cp:revision>2</cp:revision>
  <dcterms:created xsi:type="dcterms:W3CDTF">2026-06-18T10:40:00Z</dcterms:created>
  <dcterms:modified xsi:type="dcterms:W3CDTF">2026-06-18T10:40:00Z</dcterms:modified>
</cp:coreProperties>
</file>